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>
      <w:pPr>
        <w:spacing w:after="120"/>
        <w:jc w:val="center"/>
      </w:pPr>
      <w:r>
        <w:rPr>
          <w:sz w:val="28"/>
        </w:rPr>
        <w:t>Программа для ЭВМ</w:t>
      </w:r>
    </w:p>
    <w:p>
      <w:pPr>
        <w:spacing w:after="120"/>
        <w:jc w:val="center"/>
      </w:pPr>
      <w:r>
        <w:rPr>
          <w:b/>
          <w:sz w:val="32"/>
        </w:rPr>
        <w:t>«Серверное ПО ZONT»</w:t>
      </w:r>
    </w:p>
    <w:p/>
    <w:p/>
    <w:p>
      <w:pPr>
        <w:spacing w:after="120"/>
        <w:jc w:val="center"/>
      </w:pPr>
      <w:r>
        <w:rPr>
          <w:b/>
          <w:sz w:val="28"/>
        </w:rPr>
        <w:t>Руководство пользователя</w:t>
      </w:r>
    </w:p>
    <w:p/>
    <w:p/>
    <w:p/>
    <w:p/>
    <w:p>
      <w:pPr>
        <w:spacing w:after="120"/>
        <w:jc w:val="center"/>
      </w:pPr>
      <w:r>
        <w:t>ООО «Зонт Онлайн»</w:t>
      </w:r>
    </w:p>
    <w:p>
      <w:pPr>
        <w:spacing w:after="120"/>
        <w:jc w:val="center"/>
      </w:pPr>
      <w:r>
        <w:t>г. Нижний Новгород, 2026 г.</w:t>
      </w:r>
    </w:p>
    <w:p>
      <w:r>
        <w:br w:type="page"/>
      </w:r>
    </w:p>
    <w:p>
      <w:pPr>
        <w:pStyle w:val="Heading1"/>
        <w:spacing w:before="240" w:after="120"/>
      </w:pPr>
      <w:r>
        <w:t>1. Общие положения</w:t>
      </w:r>
    </w:p>
    <w:p>
      <w:pPr>
        <w:spacing w:after="120" w:line="300" w:lineRule="auto"/>
        <w:ind w:firstLine="567"/>
        <w:jc w:val="both"/>
      </w:pPr>
      <w:r>
        <w:t>ООО «Зонт Онлайн» подготовило настоящий документ во исполнение Постановления Правительства Российской Федерации от 16.11.2015 № 1236 (в редакции Постановления от 28.12.2022 № 2461). Документ описывает порядок работы пользователя с веб-сервисом zont.online.</w:t>
      </w:r>
    </w:p>
    <w:p>
      <w:pPr>
        <w:spacing w:after="120" w:line="300" w:lineRule="auto"/>
        <w:ind w:firstLine="567"/>
        <w:jc w:val="both"/>
      </w:pPr>
      <w:r>
        <w:t>Документ относится к программе для ЭВМ «Серверное ПО ZONT», исключительные права на которую принадлежат Обществу с ограниченной ответственностью «Зонт Онлайн» (ИНН 5245031037, ОГРН 1195275047582).</w:t>
      </w:r>
    </w:p>
    <w:p>
      <w:pPr>
        <w:spacing w:after="120" w:line="300" w:lineRule="auto"/>
        <w:ind w:firstLine="567"/>
        <w:jc w:val="both"/>
      </w:pPr>
      <w:r>
        <w:t>Руководство описывает веб-сервис. Порядок получения доступа к сервису, регистрация и добавление прибора описаны в документе «Инструкция по установке».</w:t>
      </w:r>
    </w:p>
    <w:p>
      <w:pPr>
        <w:pStyle w:val="Heading1"/>
        <w:spacing w:before="240" w:after="120"/>
      </w:pPr>
      <w:r>
        <w:t>2. Состав веб-сервиса</w:t>
      </w:r>
    </w:p>
    <w:p>
      <w:pPr>
        <w:spacing w:after="120" w:line="300" w:lineRule="auto"/>
        <w:ind w:firstLine="567"/>
        <w:jc w:val="both"/>
      </w:pPr>
      <w:r>
        <w:t>Веб-сервис предоставляет пользователю следующие разделы:</w:t>
      </w:r>
    </w:p>
    <w:p>
      <w:pPr>
        <w:pStyle w:val="ListBullet"/>
        <w:spacing w:after="80" w:line="300" w:lineRule="auto"/>
        <w:ind w:left="709"/>
      </w:pPr>
      <w:r>
        <w:t>список устройств с их состоянием и группировкой устройств;</w:t>
      </w:r>
    </w:p>
    <w:p>
      <w:pPr>
        <w:pStyle w:val="ListBullet"/>
        <w:spacing w:after="80" w:line="300" w:lineRule="auto"/>
        <w:ind w:left="709"/>
      </w:pPr>
      <w:r>
        <w:t>карта местоположения приборов и геозон;</w:t>
      </w:r>
    </w:p>
    <w:p>
      <w:pPr>
        <w:pStyle w:val="ListBullet"/>
        <w:spacing w:after="80" w:line="300" w:lineRule="auto"/>
        <w:ind w:left="709"/>
      </w:pPr>
      <w:r>
        <w:t>сводная карточка объектов — доступна на платном тарифе;</w:t>
      </w:r>
    </w:p>
    <w:p>
      <w:pPr>
        <w:pStyle w:val="ListBullet"/>
        <w:spacing w:after="80" w:line="300" w:lineRule="auto"/>
        <w:ind w:left="709"/>
      </w:pPr>
      <w:r>
        <w:t>SIM-карты и их тарифы;</w:t>
      </w:r>
    </w:p>
    <w:p>
      <w:pPr>
        <w:pStyle w:val="ListBullet"/>
        <w:spacing w:after="80" w:line="300" w:lineRule="auto"/>
        <w:ind w:left="709"/>
      </w:pPr>
      <w:r>
        <w:t>учётная запись: тариф и услуги, настройки уведомлений, доступ к приборам, история обращений и транзакций;</w:t>
      </w:r>
    </w:p>
    <w:p>
      <w:pPr>
        <w:pStyle w:val="ListBullet"/>
        <w:spacing w:after="80" w:line="300" w:lineRule="auto"/>
        <w:ind w:left="709"/>
      </w:pPr>
      <w:r>
        <w:t>служба поддержки.</w:t>
      </w:r>
    </w:p>
    <w:p>
      <w:pPr>
        <w:pStyle w:val="Heading1"/>
        <w:spacing w:before="240" w:after="120"/>
      </w:pPr>
      <w:r>
        <w:t>3. Работа с прибором</w:t>
      </w:r>
    </w:p>
    <w:p>
      <w:pPr>
        <w:pStyle w:val="Heading2"/>
        <w:spacing w:before="200" w:after="120"/>
      </w:pPr>
      <w:r>
        <w:t>3.1. Страница прибора</w:t>
      </w:r>
    </w:p>
    <w:p>
      <w:pPr>
        <w:spacing w:after="120" w:line="300" w:lineRule="auto"/>
        <w:ind w:firstLine="567"/>
        <w:jc w:val="both"/>
      </w:pPr>
      <w:r>
        <w:t>При выборе прибора открывается его страница. Показания и состояние прибора обновляются автоматически. В зависимости от типа прибора страница содержит следующие разделы.</w:t>
      </w:r>
    </w:p>
    <w:p>
      <w:pPr>
        <w:pStyle w:val="Heading2"/>
        <w:spacing w:before="200" w:after="120"/>
      </w:pPr>
      <w:r>
        <w:t>3.2. Отопление</w:t>
      </w:r>
    </w:p>
    <w:p>
      <w:pPr>
        <w:spacing w:after="120" w:line="300" w:lineRule="auto"/>
        <w:ind w:firstLine="567"/>
        <w:jc w:val="both"/>
      </w:pPr>
      <w:r>
        <w:t>В разделе «Отопление» отображаются контуры отопления и их текущая температура. Пользователь может:</w:t>
      </w:r>
    </w:p>
    <w:p>
      <w:pPr>
        <w:pStyle w:val="ListBullet"/>
        <w:spacing w:after="80" w:line="300" w:lineRule="auto"/>
        <w:ind w:left="709"/>
      </w:pPr>
      <w:r>
        <w:t>задать целевую температуру в контуре; прибор переводится в ручной режим;</w:t>
      </w:r>
    </w:p>
    <w:p>
      <w:pPr>
        <w:pStyle w:val="ListBullet"/>
        <w:spacing w:after="80" w:line="300" w:lineRule="auto"/>
        <w:ind w:left="709"/>
      </w:pPr>
      <w:r>
        <w:t>включить режим отопления для прибора или отдельного контура, в том числе на время или по расписанию;</w:t>
      </w:r>
    </w:p>
    <w:p>
      <w:pPr>
        <w:pStyle w:val="ListBullet"/>
        <w:spacing w:after="80" w:line="300" w:lineRule="auto"/>
        <w:ind w:left="709"/>
      </w:pPr>
      <w:r>
        <w:t>вернуть контур в автоматический режим работы.</w:t>
      </w:r>
    </w:p>
    <w:p>
      <w:pPr>
        <w:pStyle w:val="Heading2"/>
        <w:spacing w:before="200" w:after="120"/>
      </w:pPr>
      <w:r>
        <w:t>3.3. Состояние прибора</w:t>
      </w:r>
    </w:p>
    <w:p>
      <w:pPr>
        <w:spacing w:after="120" w:line="300" w:lineRule="auto"/>
        <w:ind w:firstLine="567"/>
        <w:jc w:val="both"/>
      </w:pPr>
      <w:r>
        <w:t>В разделе «Состояние» отображаются текущие показания прибора: температура, питание и заряд аккумулятора, уровень и оператор сотовой связи, состояние датчиков, элементов управления и охранных зон, а также признак нахождения прибора на связи и время последнего обновления данных.</w:t>
      </w:r>
    </w:p>
    <w:p>
      <w:pPr>
        <w:pStyle w:val="Heading2"/>
        <w:spacing w:before="200" w:after="120"/>
      </w:pPr>
      <w:r>
        <w:t>3.4. Графики и история</w:t>
      </w:r>
    </w:p>
    <w:p>
      <w:pPr>
        <w:spacing w:after="120" w:line="300" w:lineRule="auto"/>
        <w:ind w:firstLine="567"/>
        <w:jc w:val="both"/>
      </w:pPr>
      <w:r>
        <w:t>В разделе «Графики» пользователь строит графики показаний прибора за выбранный период и просматривает историю показаний. Глубина хранения истории зависит от тарифа: на тарифе «Базовый» история хранится три месяца, на тарифе «PRO» — два года. Больший период хранения доступен за дополнительную плату. Выгрузка накопленных данных выполняется в разделе «Архив данных».</w:t>
      </w:r>
    </w:p>
    <w:p>
      <w:pPr>
        <w:pStyle w:val="Heading2"/>
        <w:spacing w:before="200" w:after="120"/>
      </w:pPr>
      <w:r>
        <w:t>3.5. События</w:t>
      </w:r>
    </w:p>
    <w:p>
      <w:pPr>
        <w:spacing w:after="120" w:line="300" w:lineRule="auto"/>
        <w:ind w:firstLine="567"/>
        <w:jc w:val="both"/>
      </w:pPr>
      <w:r>
        <w:t>В разделе «События» отображается лента событий прибора: тревоги, отключения и восстановления питания, потери связи, аварии оборудования, действия пользователя и других лиц. События, отмеченные как важные, дополнительно направляются в виде уведомлений. Непрочитанные важные события отмечаются счётчиком.</w:t>
      </w:r>
    </w:p>
    <w:p>
      <w:pPr>
        <w:pStyle w:val="Heading2"/>
        <w:spacing w:before="200" w:after="120"/>
      </w:pPr>
      <w:r>
        <w:t>3.6. Охрана</w:t>
      </w:r>
    </w:p>
    <w:p>
      <w:pPr>
        <w:spacing w:after="120" w:line="300" w:lineRule="auto"/>
        <w:ind w:firstLine="567"/>
        <w:jc w:val="both"/>
      </w:pPr>
      <w:r>
        <w:t>В разделе «Охрана» пользователь ставит и снимает с охраны зоны прибора и контролирует их состояние.</w:t>
      </w:r>
    </w:p>
    <w:p>
      <w:pPr>
        <w:pStyle w:val="Heading2"/>
        <w:spacing w:before="200" w:after="120"/>
      </w:pPr>
      <w:r>
        <w:t>3.7. Управление элементами прибора</w:t>
      </w:r>
    </w:p>
    <w:p>
      <w:pPr>
        <w:spacing w:after="120" w:line="300" w:lineRule="auto"/>
        <w:ind w:firstLine="567"/>
        <w:jc w:val="both"/>
      </w:pPr>
      <w:r>
        <w:t>В разделе «Управление» пользователь нажимает кнопки и переключатели прибора, задаёт значение аналогового выхода, запускает сценарий прибора. Для автомобильных приборов доступны постановка и снятие с охраны, запуск двигателя и предпускового подогревателя, включение сирены и блокировка двигателя.</w:t>
      </w:r>
    </w:p>
    <w:p>
      <w:pPr>
        <w:pStyle w:val="Heading2"/>
        <w:spacing w:before="200" w:after="120"/>
      </w:pPr>
      <w:r>
        <w:t>3.8. Карта и геозоны</w:t>
      </w:r>
    </w:p>
    <w:p>
      <w:pPr>
        <w:spacing w:after="120" w:line="300" w:lineRule="auto"/>
        <w:ind w:firstLine="567"/>
        <w:jc w:val="both"/>
      </w:pPr>
      <w:r>
        <w:t>В разделе «Карта» отображается местоположение прибора. Пользователь задаёт геозоны — территории, вход в которые и выход из которых фиксируются как события, и может получать уведомления об этих событиях. Геозоны доступны на платном тарифе.</w:t>
      </w:r>
    </w:p>
    <w:p>
      <w:pPr>
        <w:pStyle w:val="Heading2"/>
        <w:spacing w:before="200" w:after="120"/>
      </w:pPr>
      <w:r>
        <w:t>3.9. Настройки прибора</w:t>
      </w:r>
    </w:p>
    <w:p>
      <w:pPr>
        <w:spacing w:after="120" w:line="300" w:lineRule="auto"/>
        <w:ind w:firstLine="567"/>
        <w:jc w:val="both"/>
      </w:pPr>
      <w:r>
        <w:t>В настройках прибора владелец задаёт:</w:t>
      </w:r>
    </w:p>
    <w:p>
      <w:pPr>
        <w:pStyle w:val="ListBullet"/>
        <w:spacing w:after="80" w:line="300" w:lineRule="auto"/>
        <w:ind w:left="709"/>
      </w:pPr>
      <w:r>
        <w:t>имя прибора;</w:t>
      </w:r>
    </w:p>
    <w:p>
      <w:pPr>
        <w:pStyle w:val="ListBullet"/>
        <w:spacing w:after="80" w:line="300" w:lineRule="auto"/>
        <w:ind w:left="709"/>
      </w:pPr>
      <w:r>
        <w:t>часовой пояс и шаг изменения температуры;</w:t>
      </w:r>
    </w:p>
    <w:p>
      <w:pPr>
        <w:pStyle w:val="ListBullet"/>
        <w:spacing w:after="80" w:line="300" w:lineRule="auto"/>
        <w:ind w:left="709"/>
      </w:pPr>
      <w:r>
        <w:t>параметры уведомлений, описанные в разделе 5 настоящего руководства;</w:t>
      </w:r>
    </w:p>
    <w:p>
      <w:pPr>
        <w:pStyle w:val="ListBullet"/>
        <w:spacing w:after="80" w:line="300" w:lineRule="auto"/>
        <w:ind w:left="709"/>
      </w:pPr>
      <w:r>
        <w:t>иконку прибора из набора сервиса или собственную иконку;</w:t>
      </w:r>
    </w:p>
    <w:p>
      <w:pPr>
        <w:pStyle w:val="ListBullet"/>
        <w:spacing w:after="80" w:line="300" w:lineRule="auto"/>
        <w:ind w:left="709"/>
      </w:pPr>
      <w:r>
        <w:t>доступ к прибору для других пользователей, описанный в разделе 6.</w:t>
      </w:r>
    </w:p>
    <w:p>
      <w:pPr>
        <w:spacing w:after="120" w:line="300" w:lineRule="auto"/>
        <w:ind w:firstLine="567"/>
        <w:jc w:val="both"/>
      </w:pPr>
      <w:r>
        <w:t>На платном тарифе доступны индивидуальные названия и заметки к приборам, группировка устройств и расширенный состав настроек.</w:t>
      </w:r>
    </w:p>
    <w:p>
      <w:pPr>
        <w:pStyle w:val="Heading2"/>
        <w:spacing w:before="200" w:after="120"/>
      </w:pPr>
      <w:r>
        <w:t>3.10. Обновление прошивки прибора</w:t>
      </w:r>
    </w:p>
    <w:p>
      <w:pPr>
        <w:spacing w:after="120" w:line="300" w:lineRule="auto"/>
        <w:ind w:firstLine="567"/>
        <w:jc w:val="both"/>
      </w:pPr>
      <w:r>
        <w:t>В разделе «ТО» пользователь просматривает доступные версии прошивки и описание изменений, запускает обновление и при необходимости отменяет его до завершения. Право на обновление прошивки предоставляется владельцу прибора.</w:t>
      </w:r>
    </w:p>
    <w:p>
      <w:pPr>
        <w:pStyle w:val="Heading2"/>
        <w:spacing w:before="200" w:after="120"/>
      </w:pPr>
      <w:r>
        <w:t>3.11. Диагностика</w:t>
      </w:r>
    </w:p>
    <w:p>
      <w:pPr>
        <w:spacing w:after="120" w:line="300" w:lineRule="auto"/>
        <w:ind w:firstLine="567"/>
        <w:jc w:val="both"/>
      </w:pPr>
      <w:r>
        <w:t>В разделе «Диагностика» отображаются результаты проверок прибора, в том числе проверки связи и состояния элементов прибора.</w:t>
      </w:r>
    </w:p>
    <w:p>
      <w:pPr>
        <w:pStyle w:val="Heading1"/>
        <w:spacing w:before="240" w:after="120"/>
      </w:pPr>
      <w:r>
        <w:t>4. Сводная карточка объектов</w:t>
      </w:r>
    </w:p>
    <w:p>
      <w:pPr>
        <w:spacing w:after="120" w:line="300" w:lineRule="auto"/>
        <w:ind w:firstLine="567"/>
        <w:jc w:val="both"/>
      </w:pPr>
      <w:r>
        <w:t>Сводная карточка объединяет показания нескольких приборов на одном экране и доступна на платном тарифе. Карточка используется для контроля объектов и сведения их состояния на один экран.</w:t>
      </w:r>
    </w:p>
    <w:p>
      <w:pPr>
        <w:pStyle w:val="Heading1"/>
        <w:spacing w:before="240" w:after="120"/>
      </w:pPr>
      <w:r>
        <w:t>5. Уведомления</w:t>
      </w:r>
    </w:p>
    <w:p>
      <w:pPr>
        <w:spacing w:after="120" w:line="300" w:lineRule="auto"/>
        <w:ind w:firstLine="567"/>
        <w:jc w:val="both"/>
      </w:pPr>
      <w:r>
        <w:t>Пользователь настраивает уведомления в настройках прибора:</w:t>
      </w:r>
    </w:p>
    <w:p>
      <w:pPr>
        <w:pStyle w:val="ListBullet"/>
        <w:spacing w:after="80" w:line="300" w:lineRule="auto"/>
        <w:ind w:left="709"/>
      </w:pPr>
      <w:r>
        <w:t>включает и выключает доставку уведомлений по прибору в целом;</w:t>
      </w:r>
    </w:p>
    <w:p>
      <w:pPr>
        <w:pStyle w:val="ListBullet"/>
        <w:spacing w:after="80" w:line="300" w:lineRule="auto"/>
        <w:ind w:left="709"/>
      </w:pPr>
      <w:r>
        <w:t>включает и выключает доставку по отдельным объектам прибора;</w:t>
      </w:r>
    </w:p>
    <w:p>
      <w:pPr>
        <w:pStyle w:val="ListBullet"/>
        <w:spacing w:after="80" w:line="300" w:lineRule="auto"/>
        <w:ind w:left="709"/>
      </w:pPr>
      <w:r>
        <w:t>задаёт время, после которого отсутствие связи с прибором считается отключением;</w:t>
      </w:r>
    </w:p>
    <w:p>
      <w:pPr>
        <w:pStyle w:val="ListBullet"/>
        <w:spacing w:after="80" w:line="300" w:lineRule="auto"/>
        <w:ind w:left="709"/>
      </w:pPr>
      <w:r>
        <w:t>включает и выключает уведомления о постановке и снятии с охраны, отключённые по умолчанию;</w:t>
      </w:r>
    </w:p>
    <w:p>
      <w:pPr>
        <w:pStyle w:val="ListBullet"/>
        <w:spacing w:after="80" w:line="300" w:lineRule="auto"/>
        <w:ind w:left="709"/>
      </w:pPr>
      <w:r>
        <w:t>выбирает каналы доставки: push-уведомления и письма по электронной почте.</w:t>
      </w:r>
    </w:p>
    <w:p>
      <w:pPr>
        <w:spacing w:after="120" w:line="300" w:lineRule="auto"/>
        <w:ind w:firstLine="567"/>
        <w:jc w:val="both"/>
      </w:pPr>
      <w:r>
        <w:t>Пользователь, которому владелец предоставил доступ к прибору, может отказаться от доставки ему уведомлений, но не может их включить. Язык уведомлений определяется настройкой профиля.</w:t>
      </w:r>
    </w:p>
    <w:p>
      <w:pPr>
        <w:pStyle w:val="Heading1"/>
        <w:spacing w:before="240" w:after="120"/>
      </w:pPr>
      <w:r>
        <w:t>6. Доступ к прибору для других пользователей</w:t>
      </w:r>
    </w:p>
    <w:p>
      <w:pPr>
        <w:pStyle w:val="Heading2"/>
        <w:spacing w:before="200" w:after="120"/>
      </w:pPr>
      <w:r>
        <w:t>6.1. Передача доступа</w:t>
      </w:r>
    </w:p>
    <w:p>
      <w:pPr>
        <w:spacing w:after="120" w:line="300" w:lineRule="auto"/>
        <w:ind w:firstLine="567"/>
        <w:jc w:val="both"/>
      </w:pPr>
      <w:r>
        <w:t>Владелец прибора в его настройках предоставляет доступ другому пользователю и задаёт состав прав:</w:t>
      </w:r>
    </w:p>
    <w:p>
      <w:pPr>
        <w:pStyle w:val="ListBullet"/>
        <w:spacing w:after="80" w:line="300" w:lineRule="auto"/>
        <w:ind w:left="709"/>
      </w:pPr>
      <w:r>
        <w:t>просмотр текущего состояния;</w:t>
      </w:r>
    </w:p>
    <w:p>
      <w:pPr>
        <w:pStyle w:val="ListBullet"/>
        <w:spacing w:after="80" w:line="300" w:lineRule="auto"/>
        <w:ind w:left="709"/>
      </w:pPr>
      <w:r>
        <w:t>просмотр маршрутов;</w:t>
      </w:r>
    </w:p>
    <w:p>
      <w:pPr>
        <w:pStyle w:val="ListBullet"/>
        <w:spacing w:after="80" w:line="300" w:lineRule="auto"/>
        <w:ind w:left="709"/>
      </w:pPr>
      <w:r>
        <w:t>просмотр сохранённых данных;</w:t>
      </w:r>
    </w:p>
    <w:p>
      <w:pPr>
        <w:pStyle w:val="ListBullet"/>
        <w:spacing w:after="80" w:line="300" w:lineRule="auto"/>
        <w:ind w:left="709"/>
      </w:pPr>
      <w:r>
        <w:t>управление прибором;</w:t>
      </w:r>
    </w:p>
    <w:p>
      <w:pPr>
        <w:pStyle w:val="ListBullet"/>
        <w:spacing w:after="80" w:line="300" w:lineRule="auto"/>
        <w:ind w:left="709"/>
      </w:pPr>
      <w:r>
        <w:t>настройка прибора;</w:t>
      </w:r>
    </w:p>
    <w:p>
      <w:pPr>
        <w:pStyle w:val="ListBullet"/>
        <w:spacing w:after="80" w:line="300" w:lineRule="auto"/>
        <w:ind w:left="709"/>
      </w:pPr>
      <w:r>
        <w:t>обновление прошивки;</w:t>
      </w:r>
    </w:p>
    <w:p>
      <w:pPr>
        <w:pStyle w:val="ListBullet"/>
        <w:spacing w:after="80" w:line="300" w:lineRule="auto"/>
        <w:ind w:left="709"/>
      </w:pPr>
      <w:r>
        <w:t>расширенная настройка;</w:t>
      </w:r>
    </w:p>
    <w:p>
      <w:pPr>
        <w:pStyle w:val="ListBullet"/>
        <w:spacing w:after="80" w:line="300" w:lineRule="auto"/>
        <w:ind w:left="709"/>
      </w:pPr>
      <w:r>
        <w:t>предоставление доступа третьим лицам;</w:t>
      </w:r>
    </w:p>
    <w:p>
      <w:pPr>
        <w:pStyle w:val="ListBullet"/>
        <w:spacing w:after="80" w:line="300" w:lineRule="auto"/>
        <w:ind w:left="709"/>
      </w:pPr>
      <w:r>
        <w:t>получение уведомлений.</w:t>
      </w:r>
    </w:p>
    <w:p>
      <w:pPr>
        <w:spacing w:after="120" w:line="300" w:lineRule="auto"/>
        <w:ind w:firstLine="567"/>
        <w:jc w:val="both"/>
      </w:pPr>
      <w:r>
        <w:t>Владелец может задать срок действия доступа и расписание его действия. Предложение о передаче прибора действует семь суток.</w:t>
      </w:r>
    </w:p>
    <w:p>
      <w:pPr>
        <w:pStyle w:val="Heading2"/>
        <w:spacing w:before="200" w:after="120"/>
      </w:pPr>
      <w:r>
        <w:t>6.2. Приём приглашения</w:t>
      </w:r>
    </w:p>
    <w:p>
      <w:pPr>
        <w:spacing w:after="120" w:line="300" w:lineRule="auto"/>
        <w:ind w:firstLine="567"/>
        <w:jc w:val="both"/>
      </w:pPr>
      <w:r>
        <w:t>Приглашённый пользователь получает уведомление о предоставлении доступа и принимает либо отклоняет его в веб-сервисе. Объекты прибора, права на которые не предоставлены, в учётной записи пользователя не отображаются, а команды в отношении них не выполняются.</w:t>
      </w:r>
    </w:p>
    <w:p>
      <w:pPr>
        <w:pStyle w:val="Heading2"/>
        <w:spacing w:before="200" w:after="120"/>
      </w:pPr>
      <w:r>
        <w:t>6.3. Отзыв доступа</w:t>
      </w:r>
    </w:p>
    <w:p>
      <w:pPr>
        <w:spacing w:after="120" w:line="300" w:lineRule="auto"/>
        <w:ind w:firstLine="567"/>
        <w:jc w:val="both"/>
      </w:pPr>
      <w:r>
        <w:t>Владелец отзывает доступ в настройках прибора. После отзыва пользователь перестаёт видеть прибор и его показания.</w:t>
      </w:r>
    </w:p>
    <w:p>
      <w:pPr>
        <w:pStyle w:val="Heading1"/>
        <w:spacing w:before="240" w:after="120"/>
      </w:pPr>
      <w:r>
        <w:t>7. SIM-карты</w:t>
      </w:r>
    </w:p>
    <w:p>
      <w:pPr>
        <w:spacing w:after="120" w:line="300" w:lineRule="auto"/>
        <w:ind w:firstLine="567"/>
        <w:jc w:val="both"/>
      </w:pPr>
      <w:r>
        <w:t>В разделе «Сим-карты» пользователь просматривает SIM-карты, установленные в приборы, их тарифы, остаток пакета и историю потребления. Доступны тарифы «Старт», «Старт+» и «Супер Старт». Пользователь может продлить тариф, привязать или отвязать SIM-карту от прибора, а также передать SIM-карту в другую учётную запись.</w:t>
      </w:r>
    </w:p>
    <w:p>
      <w:pPr>
        <w:pStyle w:val="Heading1"/>
        <w:spacing w:before="240" w:after="120"/>
      </w:pPr>
      <w:r>
        <w:t>8. Тарифы и оплата</w:t>
      </w:r>
    </w:p>
    <w:p>
      <w:pPr>
        <w:pStyle w:val="Heading2"/>
        <w:spacing w:before="200" w:after="120"/>
      </w:pPr>
      <w:r>
        <w:t>8.1. Тарифы</w:t>
      </w:r>
    </w:p>
    <w:p>
      <w:pPr>
        <w:spacing w:after="120" w:line="300" w:lineRule="auto"/>
        <w:ind w:firstLine="567"/>
        <w:jc w:val="both"/>
      </w:pPr>
      <w:r>
        <w:t>Пользователю предлагаются тарифы, приведённые ниже.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1984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Тариф</w:t>
            </w:r>
          </w:p>
        </w:tc>
        <w:tc>
          <w:tcPr>
            <w:tcW w:type="dxa" w:w="2551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Стоимость</w:t>
            </w:r>
          </w:p>
        </w:tc>
        <w:tc>
          <w:tcPr>
            <w:tcW w:type="dxa" w:w="5102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Состав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t>Базовый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t>Бесплатно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t>Основные функции мониторинга и управления приборами</w:t>
            </w:r>
          </w:p>
        </w:tc>
      </w:tr>
      <w:tr>
        <w:tc>
          <w:tcPr>
            <w:tcW w:type="dxa" w:w="1984"/>
          </w:tcPr>
          <w:p>
            <w:pPr>
              <w:spacing w:after="40"/>
            </w:pPr>
            <w:r/>
            <w:r>
              <w:t>PRO</w:t>
            </w:r>
          </w:p>
        </w:tc>
        <w:tc>
          <w:tcPr>
            <w:tcW w:type="dxa" w:w="2551"/>
          </w:tcPr>
          <w:p>
            <w:pPr>
              <w:spacing w:after="40"/>
            </w:pPr>
            <w:r/>
            <w:r>
              <w:t>199 рублей в месяц</w:t>
            </w:r>
          </w:p>
        </w:tc>
        <w:tc>
          <w:tcPr>
            <w:tcW w:type="dxa" w:w="5102"/>
          </w:tcPr>
          <w:p>
            <w:pPr>
              <w:spacing w:after="40"/>
            </w:pPr>
            <w:r/>
            <w:r>
              <w:t>Функции тарифа «Базовый» и дополнительные функции</w:t>
            </w:r>
          </w:p>
        </w:tc>
      </w:tr>
    </w:tbl>
    <w:p/>
    <w:p>
      <w:pPr>
        <w:spacing w:after="120" w:line="300" w:lineRule="auto"/>
        <w:ind w:firstLine="567"/>
        <w:jc w:val="both"/>
      </w:pPr>
      <w:r>
        <w:t>Функции тарифа PRO включают индивидуальные названия и заметки к приборам, группировку устройств, сводную карточку объектов, геозоны, историю конфигураций прибора и хранение данных за два года. Актуальный состав функций каждого тарифа опубликован на сайте https://zont.online.</w:t>
      </w:r>
    </w:p>
    <w:p>
      <w:pPr>
        <w:pStyle w:val="Heading2"/>
        <w:spacing w:before="200" w:after="120"/>
      </w:pPr>
      <w:r>
        <w:t>8.2. Оплата</w:t>
      </w:r>
    </w:p>
    <w:p>
      <w:pPr>
        <w:spacing w:after="120" w:line="300" w:lineRule="auto"/>
        <w:ind w:firstLine="567"/>
        <w:jc w:val="both"/>
      </w:pPr>
      <w:r>
        <w:t>Оплата производится с лицевого счёта пользователя. В веб-сервисе выполняется пополнение лицевого счёта и просмотр истории операций. Оплата производится платёжными картами через сервис ЮKassa либо счётом для организации. При оплате счётом для организации пользователь указывает ИНН, наименование организации и адрес; счёт направляется на электронную почту пользователя.</w:t>
      </w:r>
    </w:p>
    <w:p>
      <w:pPr>
        <w:spacing w:after="120" w:line="300" w:lineRule="auto"/>
        <w:ind w:firstLine="567"/>
        <w:jc w:val="both"/>
      </w:pPr>
      <w:r>
        <w:t>Пользователь может включить автоплатёж: списание абонентской платы производится автоматически с лицевого счёта. При небольшом остатке баланса пользователь получает предупреждение, а при его исчерпании — уведомление о прекращении оказания платных услуг. Функции тарифа «Базовый» при этом сохраняются.</w:t>
      </w:r>
    </w:p>
    <w:p>
      <w:pPr>
        <w:pStyle w:val="Heading1"/>
        <w:spacing w:before="240" w:after="120"/>
      </w:pPr>
      <w:r>
        <w:t>9. Сценарии и автоматизация</w:t>
      </w:r>
    </w:p>
    <w:p>
      <w:pPr>
        <w:pStyle w:val="Heading2"/>
        <w:spacing w:before="200" w:after="120"/>
      </w:pPr>
      <w:r>
        <w:t>9.1. Сценарии прибора</w:t>
      </w:r>
    </w:p>
    <w:p>
      <w:pPr>
        <w:spacing w:after="120" w:line="300" w:lineRule="auto"/>
        <w:ind w:firstLine="567"/>
        <w:jc w:val="both"/>
      </w:pPr>
      <w:r>
        <w:t>Пользователь запускает сценарий прибора из раздела «Управление». Сценарии настраиваются в мобильном приложении ZONT Ретро и применяются к прибору.</w:t>
      </w:r>
    </w:p>
    <w:p>
      <w:pPr>
        <w:pStyle w:val="Heading2"/>
        <w:spacing w:before="200" w:after="120"/>
      </w:pPr>
      <w:r>
        <w:t>9.2. Автоматизация в веб-сервисе</w:t>
      </w:r>
    </w:p>
    <w:p>
      <w:pPr>
        <w:spacing w:after="120" w:line="300" w:lineRule="auto"/>
        <w:ind w:firstLine="567"/>
        <w:jc w:val="both"/>
      </w:pPr>
      <w:r>
        <w:t>Автоматизация выполняет действие при наступлении события. Правило задаётся из следующих элементов:</w:t>
      </w:r>
    </w:p>
    <w:p>
      <w:pPr>
        <w:pStyle w:val="ListBullet"/>
        <w:spacing w:after="80" w:line="300" w:lineRule="auto"/>
        <w:ind w:left="709"/>
      </w:pPr>
      <w:r>
        <w:t>событие — вход и выход из геозоны, выход температуры или влажности за заданные границы, протечка, задымление, постановка и снятие зоны и прибора с охраны, пропадание и появление питания, потеря и восстановление связи с котлом;</w:t>
      </w:r>
    </w:p>
    <w:p>
      <w:pPr>
        <w:pStyle w:val="ListBullet"/>
        <w:spacing w:after="80" w:line="300" w:lineRule="auto"/>
        <w:ind w:left="709"/>
      </w:pPr>
      <w:r>
        <w:t>расписание — автоматизация срабатывает в заданное время и дни недели;</w:t>
      </w:r>
    </w:p>
    <w:p>
      <w:pPr>
        <w:pStyle w:val="ListBullet"/>
        <w:spacing w:after="80" w:line="300" w:lineRule="auto"/>
        <w:ind w:left="709"/>
      </w:pPr>
      <w:r>
        <w:t>режим запуска — автоматизация запускается вручную или при выполнении условий;</w:t>
      </w:r>
    </w:p>
    <w:p>
      <w:pPr>
        <w:pStyle w:val="ListBullet"/>
        <w:spacing w:after="80" w:line="300" w:lineRule="auto"/>
        <w:ind w:left="709"/>
      </w:pPr>
      <w:r>
        <w:t>условия — состояние объекта прибора, наличие связи с прибором, временное окно;</w:t>
      </w:r>
    </w:p>
    <w:p>
      <w:pPr>
        <w:pStyle w:val="ListBullet"/>
        <w:spacing w:after="80" w:line="300" w:lineRule="auto"/>
        <w:ind w:left="709"/>
      </w:pPr>
      <w:r>
        <w:t>действия — команда прибору, уведомление, пауза, отчёт по каналам связи.</w:t>
      </w:r>
    </w:p>
    <w:p>
      <w:pPr>
        <w:spacing w:after="120" w:line="300" w:lineRule="auto"/>
        <w:ind w:firstLine="567"/>
        <w:jc w:val="both"/>
      </w:pPr>
      <w:r>
        <w:t>Пользователь включает и выключает правило, запускает его вручную и просматривает журнал запусков.</w:t>
      </w:r>
    </w:p>
    <w:p>
      <w:pPr>
        <w:pStyle w:val="Heading1"/>
        <w:spacing w:before="240" w:after="120"/>
      </w:pPr>
      <w:r>
        <w:t>10. Интеграции</w:t>
      </w:r>
    </w:p>
    <w:p>
      <w:pPr>
        <w:spacing w:after="120" w:line="300" w:lineRule="auto"/>
        <w:ind w:firstLine="567"/>
        <w:jc w:val="both"/>
      </w:pPr>
      <w:r>
        <w:t>Веб-сервис предоставляет интеграции со сторонними системами: голосовые помощники Яндекс Алиса и Салют Сбера, а также вебхуки для передачи событий приборов в информационные системы пользователя. Для голосового помощника пользователь выбирает, какие приборы доступны помощнику.</w:t>
      </w:r>
    </w:p>
    <w:p>
      <w:pPr>
        <w:pStyle w:val="Heading1"/>
        <w:spacing w:before="240" w:after="120"/>
      </w:pPr>
      <w:r>
        <w:t>11. Программный интерфейс</w:t>
      </w:r>
    </w:p>
    <w:p>
      <w:pPr>
        <w:spacing w:after="120" w:line="300" w:lineRule="auto"/>
        <w:ind w:firstLine="567"/>
        <w:jc w:val="both"/>
      </w:pPr>
      <w:r>
        <w:t>В учётной записи пользователь выпускает токены доступа для сторонних сервисов, просматривает список выданных токенов и отзывает их. Документация программного интерфейса опубликована по адресу https://my.zont.online/api/widget/v3/.</w:t>
      </w:r>
    </w:p>
    <w:p>
      <w:pPr>
        <w:pStyle w:val="Heading1"/>
        <w:spacing w:before="240" w:after="120"/>
      </w:pPr>
      <w:r>
        <w:t>12. Поддержка и новости</w:t>
      </w:r>
    </w:p>
    <w:p>
      <w:pPr>
        <w:pStyle w:val="Heading2"/>
        <w:spacing w:before="200" w:after="120"/>
      </w:pPr>
      <w:r>
        <w:t>12.1. Обращения в службу поддержки</w:t>
      </w:r>
    </w:p>
    <w:p>
      <w:pPr>
        <w:spacing w:after="120" w:line="300" w:lineRule="auto"/>
        <w:ind w:firstLine="567"/>
        <w:jc w:val="both"/>
      </w:pPr>
      <w:r>
        <w:t>В разделе «Поддержка» пользователь создаёт обращение, прикладывает описание неисправности и фотографии, дополняет обращение комментариями, отслеживает его статус и оценивает ответ. История обращений доступна в учётной записи.</w:t>
      </w:r>
    </w:p>
    <w:p>
      <w:pPr>
        <w:pStyle w:val="Heading2"/>
        <w:spacing w:before="200" w:after="120"/>
      </w:pPr>
      <w:r>
        <w:t>12.2. Новости</w:t>
      </w:r>
    </w:p>
    <w:p>
      <w:pPr>
        <w:spacing w:after="120" w:line="300" w:lineRule="auto"/>
        <w:ind w:firstLine="567"/>
        <w:jc w:val="both"/>
      </w:pPr>
      <w:r>
        <w:t>Пользователь получает новости сервиса в веб-сервисе и письмами по электронной почте. От рассылки можно отказаться. Уведомления о событиях приборов и о состоянии лицевого счёта приходят независимо от настройки рассылки.</w:t>
      </w:r>
    </w:p>
    <w:p>
      <w:pPr>
        <w:pStyle w:val="Heading1"/>
        <w:spacing w:before="240" w:after="120"/>
      </w:pPr>
      <w:r>
        <w:t>13. Реквизиты Правообладателя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2835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Реквизит</w:t>
            </w:r>
          </w:p>
        </w:tc>
        <w:tc>
          <w:tcPr>
            <w:tcW w:type="dxa" w:w="6803"/>
            <w:shd w:val="clear" w:color="auto" w:fill="E7E6E6"/>
          </w:tcPr>
          <w:p>
            <w:pPr>
              <w:spacing w:after="40"/>
            </w:pPr>
            <w:r/>
            <w:r>
              <w:rPr>
                <w:b/>
              </w:rPr>
              <w:t>Значение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Наименование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Общество с ограниченной ответственностью «Зонт Онлайн»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ИНН / КПП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5245031037 / 526101001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ОГРН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1195275047582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Юридический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Заводская ул., дом 38, помещение 7, офис 3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Почтовый адрес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607630, Нижегородская обл., г. Нижний Новгород, сельский поселок Кудьма, а/я 4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Директор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Мячев Владислав Евгеньевич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Телефон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(831) 220-76-76</w:t>
            </w:r>
          </w:p>
        </w:tc>
      </w:tr>
      <w:tr>
        <w:tc>
          <w:tcPr>
            <w:tcW w:type="dxa" w:w="2835"/>
          </w:tcPr>
          <w:p>
            <w:pPr>
              <w:spacing w:after="40"/>
            </w:pPr>
            <w:r/>
            <w:r>
              <w:t>Сайт</w:t>
            </w:r>
          </w:p>
        </w:tc>
        <w:tc>
          <w:tcPr>
            <w:tcW w:type="dxa" w:w="6803"/>
          </w:tcPr>
          <w:p>
            <w:pPr>
              <w:spacing w:after="40"/>
            </w:pPr>
            <w:r/>
            <w:r>
              <w:t>https://zont.online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